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i w:val="1"/>
          <w:sz w:val="22"/>
          <w:szCs w:val="22"/>
        </w:rPr>
      </w:pPr>
      <w:r w:rsidDel="00000000" w:rsidR="00000000" w:rsidRPr="00000000">
        <w:rPr>
          <w:b w:val="1"/>
          <w:i w:val="1"/>
          <w:sz w:val="22"/>
          <w:szCs w:val="22"/>
          <w:rtl w:val="0"/>
        </w:rPr>
        <w:t xml:space="preserve">Mr. Tony Pidgeon, M.Ed.</w:t>
        <w:tab/>
        <w:t xml:space="preserve">         Bradley S. Schifko, M.Ed. </w:t>
        <w:tab/>
        <w:t xml:space="preserve">              </w:t>
        <w:tab/>
        <w:t xml:space="preserve">        Ms. Lynn Fischer, M.Ed.</w:t>
      </w:r>
    </w:p>
    <w:p w:rsidR="00000000" w:rsidDel="00000000" w:rsidP="00000000" w:rsidRDefault="00000000" w:rsidRPr="00000000" w14:paraId="00000003">
      <w:pPr>
        <w:ind w:firstLine="720"/>
        <w:rPr>
          <w:b w:val="1"/>
          <w:i w:val="1"/>
          <w:sz w:val="22"/>
          <w:szCs w:val="22"/>
        </w:rPr>
      </w:pPr>
      <w:r w:rsidDel="00000000" w:rsidR="00000000" w:rsidRPr="00000000">
        <w:rPr>
          <w:b w:val="1"/>
          <w:i w:val="1"/>
          <w:sz w:val="22"/>
          <w:szCs w:val="22"/>
          <w:rtl w:val="0"/>
        </w:rPr>
        <w:t xml:space="preserve">Principal</w:t>
        <w:tab/>
        <w:t xml:space="preserve"> </w:t>
        <w:tab/>
        <w:t xml:space="preserve">               Director Ejecutivo</w:t>
        <w:tab/>
        <w:t xml:space="preserve">       </w:t>
        <w:tab/>
        <w:t xml:space="preserve">            Asistente Principal</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sz w:val="22"/>
          <w:szCs w:val="22"/>
          <w:rtl w:val="0"/>
        </w:rPr>
        <w:t xml:space="preserve">Teléfono: 610 – 403 – 2787</w:t>
      </w:r>
    </w:p>
    <w:p w:rsidR="00000000" w:rsidDel="00000000" w:rsidP="00000000" w:rsidRDefault="00000000" w:rsidRPr="00000000" w14:paraId="00000006">
      <w:pPr>
        <w:jc w:val="center"/>
        <w:rPr>
          <w:sz w:val="22"/>
          <w:szCs w:val="22"/>
        </w:rPr>
      </w:pPr>
      <w:r w:rsidDel="00000000" w:rsidR="00000000" w:rsidRPr="00000000">
        <w:rPr>
          <w:sz w:val="22"/>
          <w:szCs w:val="22"/>
          <w:rtl w:val="0"/>
        </w:rPr>
        <w:t xml:space="preserve">Fax: 610 – 403 – 2687</w:t>
      </w:r>
    </w:p>
    <w:p w:rsidR="00000000" w:rsidDel="00000000" w:rsidP="00000000" w:rsidRDefault="00000000" w:rsidRPr="00000000" w14:paraId="00000007">
      <w:pPr>
        <w:jc w:val="center"/>
        <w:rPr>
          <w:sz w:val="22"/>
          <w:szCs w:val="22"/>
        </w:rPr>
      </w:pPr>
      <w:r w:rsidDel="00000000" w:rsidR="00000000" w:rsidRPr="00000000">
        <w:rPr>
          <w:sz w:val="22"/>
          <w:szCs w:val="22"/>
          <w:rtl w:val="0"/>
        </w:rPr>
        <w:t xml:space="preserve">www.iaacslv.net</w:t>
      </w:r>
    </w:p>
    <w:p w:rsidR="00000000" w:rsidDel="00000000" w:rsidP="00000000" w:rsidRDefault="00000000" w:rsidRPr="00000000" w14:paraId="00000008">
      <w:pPr>
        <w:pBdr>
          <w:bottom w:color="000000" w:space="1" w:sz="12" w:val="single"/>
        </w:pBd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sz w:val="22"/>
          <w:szCs w:val="22"/>
          <w:rtl w:val="0"/>
        </w:rPr>
        <w:t xml:space="preserve">Derecho de los padres a saber información</w:t>
      </w:r>
    </w:p>
    <w:p w:rsidR="00000000" w:rsidDel="00000000" w:rsidP="00000000" w:rsidRDefault="00000000" w:rsidRPr="00000000" w14:paraId="0000000B">
      <w:pPr>
        <w:rPr>
          <w:sz w:val="16"/>
          <w:szCs w:val="16"/>
        </w:rPr>
      </w:pPr>
      <w:r w:rsidDel="00000000" w:rsidR="00000000" w:rsidRPr="00000000">
        <w:rPr>
          <w:sz w:val="16"/>
          <w:szCs w:val="16"/>
          <w:rtl w:val="0"/>
        </w:rPr>
        <w:t xml:space="preserve">según lo requerido por la Asistencia para la Educación Primaria y Secundaria (ESEA) [Sección 1112(e)(1)(A)] y la Ley Cada Estudiante Triunfa (Every Student Succeeds Act) Sección 1112(e)(1)(A)</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jc w:val="right"/>
        <w:rPr>
          <w:sz w:val="22"/>
          <w:szCs w:val="22"/>
        </w:rPr>
      </w:pPr>
      <w:r w:rsidDel="00000000" w:rsidR="00000000" w:rsidRPr="00000000">
        <w:rPr>
          <w:sz w:val="22"/>
          <w:szCs w:val="22"/>
          <w:rtl w:val="0"/>
        </w:rPr>
        <w:t xml:space="preserve">Año escolar 2023-2024</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Estimados padres / tutores legales:</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Su hijo asiste a la Academia Innovative Arts , que recibe fondos federales del Título I para ayudar a los estudiantes a cumplir con los estándares estatales de desempeño. A lo largo del año escolar, le proporcionaremos información importante sobre esta ley y la educación de su hijo. Esta carta le informa sobre su derecho a solicitar información sobre las calificaciones del  maestro  </w:t>
      </w:r>
    </w:p>
    <w:p w:rsidR="00000000" w:rsidDel="00000000" w:rsidP="00000000" w:rsidRDefault="00000000" w:rsidRPr="00000000" w14:paraId="00000012">
      <w:pPr>
        <w:rPr>
          <w:sz w:val="22"/>
          <w:szCs w:val="22"/>
        </w:rPr>
      </w:pPr>
      <w:r w:rsidDel="00000000" w:rsidR="00000000" w:rsidRPr="00000000">
        <w:rPr>
          <w:sz w:val="22"/>
          <w:szCs w:val="22"/>
          <w:rtl w:val="0"/>
        </w:rPr>
        <w:t xml:space="preserve">de salón de clases que trabaja con su hijo.</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En IAA, estamos muy orgullosos de nuestros maestros y sentimos que están listos para el próximo año escolar y están preparados para brindarle a su hijo una educación de alta calidad. Como escuela de Título I, debemos cumplir con las normas federales relacionadas con las calificaciones de los maestros, tal como se define en ESEA. Estas regulaciones le permiten obtener más información sobre la capacitación y las credenciales de los maestros de su hijo. Estamos encantados de proporcionarle esta información. En cualquier momento, puede preguntar:</w:t>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numPr>
          <w:ilvl w:val="0"/>
          <w:numId w:val="2"/>
        </w:numPr>
        <w:ind w:left="720" w:hanging="360"/>
        <w:rPr>
          <w:sz w:val="22"/>
          <w:szCs w:val="22"/>
          <w:u w:val="none"/>
        </w:rPr>
      </w:pPr>
      <w:r w:rsidDel="00000000" w:rsidR="00000000" w:rsidRPr="00000000">
        <w:rPr>
          <w:sz w:val="22"/>
          <w:szCs w:val="22"/>
          <w:rtl w:val="0"/>
        </w:rPr>
        <w:t xml:space="preserve">Si el maestro cumplió con las calificaciones estatales y los requisitos de certificación para el nivel de grado y la materia que está enseñando,</w:t>
      </w:r>
    </w:p>
    <w:p w:rsidR="00000000" w:rsidDel="00000000" w:rsidP="00000000" w:rsidRDefault="00000000" w:rsidRPr="00000000" w14:paraId="00000017">
      <w:pPr>
        <w:numPr>
          <w:ilvl w:val="0"/>
          <w:numId w:val="2"/>
        </w:numPr>
        <w:ind w:left="720" w:hanging="360"/>
        <w:rPr>
          <w:sz w:val="22"/>
          <w:szCs w:val="22"/>
          <w:u w:val="none"/>
        </w:rPr>
      </w:pPr>
      <w:r w:rsidDel="00000000" w:rsidR="00000000" w:rsidRPr="00000000">
        <w:rPr>
          <w:sz w:val="22"/>
          <w:szCs w:val="22"/>
          <w:rtl w:val="0"/>
        </w:rPr>
        <w:t xml:space="preserve">Si el maestro recibió un certificado de emergencia o condicional a través del cual se le exoneró de las calificaciones estatales, y</w:t>
      </w:r>
    </w:p>
    <w:p w:rsidR="00000000" w:rsidDel="00000000" w:rsidP="00000000" w:rsidRDefault="00000000" w:rsidRPr="00000000" w14:paraId="00000018">
      <w:pPr>
        <w:numPr>
          <w:ilvl w:val="0"/>
          <w:numId w:val="2"/>
        </w:numPr>
        <w:ind w:left="720" w:hanging="360"/>
        <w:rPr>
          <w:sz w:val="22"/>
          <w:szCs w:val="22"/>
          <w:u w:val="none"/>
        </w:rPr>
      </w:pPr>
      <w:r w:rsidDel="00000000" w:rsidR="00000000" w:rsidRPr="00000000">
        <w:rPr>
          <w:sz w:val="22"/>
          <w:szCs w:val="22"/>
          <w:rtl w:val="0"/>
        </w:rPr>
        <w:t xml:space="preserve">Qué títulos universitarios o de posgrado tiene el maestro, incluidos certificados de posgrado y títulos adicionales, y especialidad(es) o área(s) de concentración.</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También puede preguntar si su hijo recibe ayuda de un paraprofesional. Si su hijo recibe esta asistencia, podemos brindarle información sobre las calificaciones del paraprofesional.</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La Ley Every Student Succeeds (ESSA), que se convirtió en ley en diciembre de 2015 y reautoriza la Ley de Educación Primaria y Secundaria de 1956 (ESEA), también incluye solicitudes de derecho a saber. En cualquier momento, los padres y familiares pueden solicitar:</w:t>
      </w:r>
    </w:p>
    <w:p w:rsidR="00000000" w:rsidDel="00000000" w:rsidP="00000000" w:rsidRDefault="00000000" w:rsidRPr="00000000" w14:paraId="0000001D">
      <w:pPr>
        <w:numPr>
          <w:ilvl w:val="0"/>
          <w:numId w:val="1"/>
        </w:numPr>
        <w:ind w:left="720" w:hanging="360"/>
        <w:rPr>
          <w:sz w:val="22"/>
          <w:szCs w:val="22"/>
          <w:u w:val="none"/>
        </w:rPr>
      </w:pPr>
      <w:r w:rsidDel="00000000" w:rsidR="00000000" w:rsidRPr="00000000">
        <w:rPr>
          <w:sz w:val="22"/>
          <w:szCs w:val="22"/>
          <w:rtl w:val="0"/>
        </w:rPr>
        <w:t xml:space="preserve">Información sobre las políticas relacionadas con la participación de los estudiantes en las evaluaciones y los procedimientos para optar por no participar, y</w:t>
      </w:r>
    </w:p>
    <w:p w:rsidR="00000000" w:rsidDel="00000000" w:rsidP="00000000" w:rsidRDefault="00000000" w:rsidRPr="00000000" w14:paraId="0000001E">
      <w:pPr>
        <w:numPr>
          <w:ilvl w:val="0"/>
          <w:numId w:val="1"/>
        </w:numPr>
        <w:ind w:left="720" w:hanging="360"/>
        <w:rPr>
          <w:sz w:val="22"/>
          <w:szCs w:val="22"/>
          <w:u w:val="none"/>
        </w:rPr>
      </w:pPr>
      <w:r w:rsidDel="00000000" w:rsidR="00000000" w:rsidRPr="00000000">
        <w:rPr>
          <w:sz w:val="22"/>
          <w:szCs w:val="22"/>
          <w:rtl w:val="0"/>
        </w:rPr>
        <w:t xml:space="preserve">Información sobre las evaluaciones requeridas que incluyen</w:t>
      </w:r>
    </w:p>
    <w:p w:rsidR="00000000" w:rsidDel="00000000" w:rsidP="00000000" w:rsidRDefault="00000000" w:rsidRPr="00000000" w14:paraId="0000001F">
      <w:pPr>
        <w:numPr>
          <w:ilvl w:val="1"/>
          <w:numId w:val="1"/>
        </w:numPr>
        <w:ind w:left="1440" w:hanging="360"/>
        <w:rPr>
          <w:sz w:val="22"/>
          <w:szCs w:val="22"/>
          <w:u w:val="none"/>
        </w:rPr>
      </w:pPr>
      <w:r w:rsidDel="00000000" w:rsidR="00000000" w:rsidRPr="00000000">
        <w:rPr>
          <w:sz w:val="22"/>
          <w:szCs w:val="22"/>
          <w:rtl w:val="0"/>
        </w:rPr>
        <w:t xml:space="preserve">tema probado,</w:t>
      </w:r>
    </w:p>
    <w:p w:rsidR="00000000" w:rsidDel="00000000" w:rsidP="00000000" w:rsidRDefault="00000000" w:rsidRPr="00000000" w14:paraId="00000020">
      <w:pPr>
        <w:numPr>
          <w:ilvl w:val="1"/>
          <w:numId w:val="1"/>
        </w:numPr>
        <w:ind w:left="1440" w:hanging="360"/>
        <w:rPr>
          <w:sz w:val="22"/>
          <w:szCs w:val="22"/>
          <w:u w:val="none"/>
        </w:rPr>
      </w:pPr>
      <w:r w:rsidDel="00000000" w:rsidR="00000000" w:rsidRPr="00000000">
        <w:rPr>
          <w:sz w:val="22"/>
          <w:szCs w:val="22"/>
          <w:rtl w:val="0"/>
        </w:rPr>
        <w:t xml:space="preserve">propósito de la prueba,</w:t>
      </w:r>
    </w:p>
    <w:p w:rsidR="00000000" w:rsidDel="00000000" w:rsidP="00000000" w:rsidRDefault="00000000" w:rsidRPr="00000000" w14:paraId="00000021">
      <w:pPr>
        <w:numPr>
          <w:ilvl w:val="1"/>
          <w:numId w:val="1"/>
        </w:numPr>
        <w:ind w:left="1440" w:hanging="360"/>
        <w:rPr>
          <w:sz w:val="22"/>
          <w:szCs w:val="22"/>
          <w:u w:val="none"/>
        </w:rPr>
      </w:pPr>
      <w:r w:rsidDel="00000000" w:rsidR="00000000" w:rsidRPr="00000000">
        <w:rPr>
          <w:sz w:val="22"/>
          <w:szCs w:val="22"/>
          <w:rtl w:val="0"/>
        </w:rPr>
        <w:t xml:space="preserve">fuente del requerimiento (si corresponde)</w:t>
      </w:r>
    </w:p>
    <w:p w:rsidR="00000000" w:rsidDel="00000000" w:rsidP="00000000" w:rsidRDefault="00000000" w:rsidRPr="00000000" w14:paraId="00000022">
      <w:pPr>
        <w:numPr>
          <w:ilvl w:val="1"/>
          <w:numId w:val="1"/>
        </w:numPr>
        <w:ind w:left="1440" w:hanging="360"/>
        <w:rPr>
          <w:sz w:val="22"/>
          <w:szCs w:val="22"/>
          <w:u w:val="none"/>
        </w:rPr>
      </w:pPr>
      <w:r w:rsidDel="00000000" w:rsidR="00000000" w:rsidRPr="00000000">
        <w:rPr>
          <w:sz w:val="22"/>
          <w:szCs w:val="22"/>
          <w:rtl w:val="0"/>
        </w:rPr>
        <w:t xml:space="preserve">cantidad de tiempo que les lleva a los estudiantes completar la prueba, y tiempo y formato de difusión de los resultados</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sz w:val="22"/>
          <w:szCs w:val="22"/>
          <w:rtl w:val="0"/>
        </w:rPr>
        <w:t xml:space="preserve">Nuestro personal está comprometido a ayudar a su hijo a desarrollar el conocimiento académico y el pensamiento crítico que necesita para tener éxito en la escuela y más allá. Ese compromiso incluye asegurarse de que todos nuestros maestros y auxiliares docentes cumplan con los requisitos aplicables del estado de Pensilvania.</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Si tiene alguna pregunta sobre la asignación de su hijo a un maestro o paraprofesional, comuníquese con el Sr. Tony Pidgeon al 610.403.2687 ext. 201 o por correo electrónico a tpidgeon@iaacslv.net. Si tiene alguna pregunta específicamente sobre el Título I, puede comunicarse con la Sra. Lynn Fischer al 610.403.2687 ext. 214 o por correo electrónico a lfischer@iaacslv.net.</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sz w:val="22"/>
          <w:szCs w:val="22"/>
          <w:rtl w:val="0"/>
        </w:rPr>
        <w:t xml:space="preserve">Sinceramente,</w:t>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Sr. Tony Pidgeon</w:t>
      </w:r>
      <w:r w:rsidDel="00000000" w:rsidR="00000000" w:rsidRPr="00000000">
        <w:rPr>
          <w:sz w:val="22"/>
          <w:szCs w:val="22"/>
          <w:rtl w:val="0"/>
        </w:rPr>
        <w:tab/>
        <w:tab/>
        <w:tab/>
        <w:tab/>
        <w:tab/>
        <w:tab/>
      </w:r>
      <w:r w:rsidDel="00000000" w:rsidR="00000000" w:rsidRPr="00000000">
        <w:rPr>
          <w:b w:val="1"/>
          <w:rtl w:val="0"/>
        </w:rPr>
        <w:t xml:space="preserve">Sra. Lynn Fischer</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Sr. Tony Pidgeon</w:t>
        <w:tab/>
        <w:tab/>
        <w:tab/>
        <w:tab/>
        <w:tab/>
        <w:tab/>
        <w:t xml:space="preserve">Sra.Lynn Fischer</w:t>
      </w:r>
    </w:p>
    <w:p w:rsidR="00000000" w:rsidDel="00000000" w:rsidP="00000000" w:rsidRDefault="00000000" w:rsidRPr="00000000" w14:paraId="0000002D">
      <w:pPr>
        <w:rPr>
          <w:sz w:val="22"/>
          <w:szCs w:val="22"/>
        </w:rPr>
      </w:pPr>
      <w:r w:rsidDel="00000000" w:rsidR="00000000" w:rsidRPr="00000000">
        <w:rPr>
          <w:sz w:val="22"/>
          <w:szCs w:val="22"/>
          <w:rtl w:val="0"/>
        </w:rPr>
        <w:t xml:space="preserve">Principal</w:t>
        <w:tab/>
        <w:tab/>
        <w:tab/>
        <w:tab/>
        <w:tab/>
        <w:tab/>
        <w:tab/>
        <w:t xml:space="preserve">Assistant Principal</w:t>
      </w:r>
    </w:p>
    <w:p w:rsidR="00000000" w:rsidDel="00000000" w:rsidP="00000000" w:rsidRDefault="00000000" w:rsidRPr="00000000" w14:paraId="0000002E">
      <w:pPr>
        <w:rPr>
          <w:sz w:val="22"/>
          <w:szCs w:val="22"/>
        </w:rPr>
      </w:pPr>
      <w:r w:rsidDel="00000000" w:rsidR="00000000" w:rsidRPr="00000000">
        <w:rPr>
          <w:sz w:val="22"/>
          <w:szCs w:val="22"/>
          <w:rtl w:val="0"/>
        </w:rPr>
        <w:t xml:space="preserve">Innovative Arts Academy</w:t>
        <w:tab/>
        <w:tab/>
        <w:tab/>
        <w:tab/>
        <w:tab/>
        <w:t xml:space="preserve">Innovative Arts Academy</w:t>
      </w:r>
    </w:p>
    <w:sectPr>
      <w:headerReference r:id="rId6" w:type="default"/>
      <w:headerReference r:id="rId7" w:type="first"/>
      <w:headerReference r:id="rId8" w:type="even"/>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330 Howertown Road, Catasauqua, PA 18032</w:t>
      <w:br w:type="textWrapping"/>
      <w:t xml:space="preserve">O: 610-403-2787 | F: 610-403-2687</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37.5pt;height:825.0pt;rotation:0;z-index:-503316481;mso-position-horizontal-relative:margin;mso-position-horizontal:center;mso-position-vertical-relative:margin;mso-position-vertical:center;" alt="/Users/dannyyoussef/Desktop/Background.jpg" type="#_x0000_t75">
          <v:imagedata cropbottom="0f" cropleft="0f" cropright="0f" croptop="0f" r:id="rId1" o:title="image2.jpg"/>
        </v:shape>
      </w:pic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660702" cy="34598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660702" cy="34598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637.5pt;height:825.0pt;rotation:0;z-index:-503316481;mso-position-horizontal-relative:margin;mso-position-horizontal:center;mso-position-vertical-relative:margin;mso-position-vertical:center;" alt="/Users/dannyyoussef/Desktop/Background.jpg"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37.5pt;height:825.0pt;rotation:0;z-index:-503316481;mso-position-horizontal-relative:margin;mso-position-horizontal:center;mso-position-vertical-relative:margin;mso-position-vertical:center;" alt="/Users/dannyyoussef/Desktop/Background.jpg"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